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4" w:rsidRPr="008468F8" w:rsidRDefault="008A62D4" w:rsidP="008A62D4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8F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A238A5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8468F8">
        <w:rPr>
          <w:rFonts w:ascii="Times New Roman" w:eastAsia="Calibri" w:hAnsi="Times New Roman" w:cs="Times New Roman"/>
          <w:b/>
          <w:sz w:val="28"/>
          <w:szCs w:val="28"/>
        </w:rPr>
        <w:t xml:space="preserve"> Отчет</w:t>
      </w:r>
    </w:p>
    <w:p w:rsidR="008A62D4" w:rsidRPr="008468F8" w:rsidRDefault="008A62D4" w:rsidP="008A62D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8F8">
        <w:rPr>
          <w:rFonts w:ascii="Times New Roman" w:eastAsia="Calibri" w:hAnsi="Times New Roman" w:cs="Times New Roman"/>
          <w:b/>
          <w:sz w:val="28"/>
          <w:szCs w:val="28"/>
        </w:rPr>
        <w:t xml:space="preserve"> об итогах работы Языковского территориального отдела администрации  Пильнинского муниципального округа Нижегородской области за 202</w:t>
      </w:r>
      <w:r w:rsidR="00543FE1" w:rsidRPr="008468F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468F8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A62D4" w:rsidRPr="008468F8" w:rsidRDefault="008A62D4" w:rsidP="008A62D4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6C4A13" w:rsidRPr="008468F8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Языковский территориальный отдел является структурным подразделением администрации Пильнинского муниципального округа, создан в соответствии со структурой администрации Пильнинского муниципального округа для реализации отдельных управленческих и иных полномочий Администрации на территории административно-территориального образования Языковский сельсовет</w:t>
      </w:r>
      <w:r w:rsidR="003204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4A13" w:rsidRPr="008468F8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Территориальный отдел наделен правами юридического лица, имеет гербовую печать, штампы, бланки и иные реквизиты, предусмотренные действующим законодательством</w:t>
      </w:r>
    </w:p>
    <w:p w:rsidR="006C4A13" w:rsidRPr="008468F8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Руководство деятельностью Территориального отдела осуществляет начальник отдела, назначаемый на должность главой местного самоуправления Пильнинского муниципального округа</w:t>
      </w:r>
      <w:r w:rsidR="00D83BDF">
        <w:rPr>
          <w:rFonts w:ascii="Times New Roman" w:eastAsia="Calibri" w:hAnsi="Times New Roman" w:cs="Times New Roman"/>
          <w:sz w:val="28"/>
          <w:szCs w:val="28"/>
        </w:rPr>
        <w:t>.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4A13" w:rsidRPr="008468F8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Главными задачами в работе территориального отдела являются исполнение полномочий в соответствии со 131 Федеральным законом «Об общих принципах организации местного самоуправления в РФ». Прежде всего – это вопросы жизнеобеспечения и безопасности населения, организация мероприятий по благоустройству населенных пунктов, освещение населенных пунктов, обслуживание дорог общего пользования местного значения, бесперебойная работа всех субъектов.</w:t>
      </w:r>
    </w:p>
    <w:p w:rsidR="00A238A5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На территории Языковского сельсовета расположено 6 населенных пунктов:</w:t>
      </w:r>
    </w:p>
    <w:p w:rsidR="006C4A13" w:rsidRPr="008468F8" w:rsidRDefault="006C4A13" w:rsidP="006C4A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с. Озёрки, с. Наваты, с. Языково, с. Барятино, д. Карачары и д. Лекаревка. На территории расположено 452 хозяйства. Основная масса людей проживает в </w:t>
      </w:r>
      <w:r w:rsidR="0032043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8468F8">
        <w:rPr>
          <w:rFonts w:ascii="Times New Roman" w:eastAsia="Calibri" w:hAnsi="Times New Roman" w:cs="Times New Roman"/>
          <w:sz w:val="28"/>
          <w:szCs w:val="28"/>
        </w:rPr>
        <w:t>с. Наваты, с. Озёрки, с. Языково. Демографическая ситуация из года в год на территории сельсовета остается напряженной, численность населен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>ия снижается и  на 1 января 2026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года составляет 7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>25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ч. </w:t>
      </w:r>
    </w:p>
    <w:p w:rsidR="008A62D4" w:rsidRPr="008468F8" w:rsidRDefault="009911E1" w:rsidP="006C4A13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Так в отчетном году родилось 2 детей, а умерло 28</w:t>
      </w:r>
      <w:r w:rsidR="006C4A13" w:rsidRPr="008468F8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8A62D4" w:rsidRPr="008468F8" w:rsidRDefault="008A62D4" w:rsidP="008A62D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A62D4" w:rsidRPr="008468F8" w:rsidRDefault="008A62D4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A62D4" w:rsidRPr="008468F8" w:rsidRDefault="008A62D4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83BDF" w:rsidRDefault="00D83BDF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83BDF" w:rsidRDefault="00D83BDF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2043A" w:rsidRDefault="0032043A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2043A" w:rsidRDefault="0032043A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A62D4" w:rsidRPr="008468F8" w:rsidRDefault="008A62D4" w:rsidP="008A62D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Расходы территориального отдела</w:t>
      </w:r>
    </w:p>
    <w:p w:rsidR="008A62D4" w:rsidRPr="008468F8" w:rsidRDefault="008A62D4" w:rsidP="008A62D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W w:w="10065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870"/>
        <w:gridCol w:w="1524"/>
        <w:gridCol w:w="1985"/>
        <w:gridCol w:w="1701"/>
      </w:tblGrid>
      <w:tr w:rsidR="006D12F9" w:rsidRPr="008468F8" w:rsidTr="000B3A7C">
        <w:trPr>
          <w:trHeight w:val="1095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расхода по бюджетной классификации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Уточненные бюджетные назначения по состоянию на 01.01.2026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Исполнено на 01.01.2026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%% исполнения к году</w:t>
            </w:r>
          </w:p>
        </w:tc>
      </w:tr>
      <w:tr w:rsidR="006D12F9" w:rsidRPr="008468F8" w:rsidTr="000B3A7C">
        <w:trPr>
          <w:trHeight w:val="593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12F9" w:rsidRPr="008468F8" w:rsidTr="000B3A7C">
        <w:trPr>
          <w:trHeight w:val="593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12F9" w:rsidRPr="008468F8" w:rsidTr="000B3A7C">
        <w:trPr>
          <w:trHeight w:val="593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12F9" w:rsidRPr="008468F8" w:rsidTr="000B3A7C">
        <w:trPr>
          <w:trHeight w:val="593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12F9" w:rsidRPr="008468F8" w:rsidTr="000B3A7C"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D12F9" w:rsidRPr="008468F8" w:rsidTr="000B3A7C">
        <w:trPr>
          <w:trHeight w:val="31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RANGE!A10"/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Расходы бюджета  всего</w:t>
            </w:r>
            <w:bookmarkEnd w:id="0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19179,1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18288,5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95,4</w:t>
            </w:r>
          </w:p>
        </w:tc>
      </w:tr>
      <w:tr w:rsidR="006D12F9" w:rsidRPr="008468F8" w:rsidTr="000B3A7C">
        <w:trPr>
          <w:trHeight w:val="31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6D12F9" w:rsidRPr="008468F8" w:rsidTr="000B3A7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0100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3961,5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3825,7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96,6</w:t>
            </w:r>
          </w:p>
        </w:tc>
      </w:tr>
      <w:tr w:rsidR="006D12F9" w:rsidRPr="008468F8" w:rsidTr="000B3A7C">
        <w:trPr>
          <w:trHeight w:val="9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0300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3837,0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3836,1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6D12F9" w:rsidRPr="008468F8" w:rsidTr="000B3A7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0400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4352,2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3909,9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89,8</w:t>
            </w:r>
          </w:p>
        </w:tc>
      </w:tr>
      <w:tr w:rsidR="006D12F9" w:rsidRPr="008468F8" w:rsidTr="000B3A7C">
        <w:trPr>
          <w:trHeight w:val="69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Жилищно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0500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4131,4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3922,0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94,9</w:t>
            </w:r>
          </w:p>
        </w:tc>
      </w:tr>
      <w:tr w:rsidR="006D12F9" w:rsidRPr="008468F8" w:rsidTr="000B3A7C">
        <w:trPr>
          <w:trHeight w:val="3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Культура и кинематография.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2F9" w:rsidRPr="000C4D10" w:rsidRDefault="006D12F9" w:rsidP="000B3A7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C4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0800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2897,0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2794,8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2F9" w:rsidRPr="000C4D10" w:rsidRDefault="006D12F9" w:rsidP="000B3A7C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96,5</w:t>
            </w:r>
          </w:p>
        </w:tc>
      </w:tr>
    </w:tbl>
    <w:p w:rsidR="008A62D4" w:rsidRPr="008468F8" w:rsidRDefault="008A62D4" w:rsidP="008A62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2D4" w:rsidRPr="008468F8" w:rsidRDefault="008A62D4" w:rsidP="008A62D4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«Обеспечение пожарной безопасности, защита населения</w:t>
      </w:r>
    </w:p>
    <w:p w:rsidR="008A62D4" w:rsidRPr="008468F8" w:rsidRDefault="008A62D4" w:rsidP="008A62D4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и территории от чрезвычайных ситуаций»</w:t>
      </w:r>
    </w:p>
    <w:p w:rsidR="008A62D4" w:rsidRPr="008468F8" w:rsidRDefault="008A62D4" w:rsidP="008A62D4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C4A13" w:rsidRPr="008468F8" w:rsidRDefault="006C4A13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Ежегодно в пожароопасный период вводится особый противопожарный режим, во время которого категорически запрещено проводить сжигание мусора, листьев, сухой растительности. Особые меры пожарной безопасности 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устанавливаются также при уборке урожая. Однако, несмотря на это, люди жгут мусор во дворах и за дворами.</w:t>
      </w:r>
    </w:p>
    <w:p w:rsidR="006C4A13" w:rsidRPr="008468F8" w:rsidRDefault="006C4A13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Пожарная муниципальная охрана Языковского </w:t>
      </w:r>
      <w:r w:rsidR="003204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территориального отдела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круглые сутки находится в боевой готовности и способна решать поставленные перед ней задачи по пожарной безопасности и защите населения и территорий от чрезвычайных ситуаций природного техногенного характера. Кадры укомплектованы полностью, согласно штатного расписания всего 8 человек. На балансе </w:t>
      </w:r>
      <w:r w:rsidR="003204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территориального отдела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есть пожарное депо и две пожарные машины (ГАЗ – 66 и ЗИЛ – 131), которые выезжают на тушение пожаров не только на территории нашего сельсовета, но и в соседние села. </w:t>
      </w:r>
    </w:p>
    <w:p w:rsidR="006C4A13" w:rsidRPr="008468F8" w:rsidRDefault="009911E1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2025</w:t>
      </w:r>
      <w:r w:rsidR="006C4A13"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закупались пожарные рукава, проводился текущий ремонт пожарной техники.</w:t>
      </w:r>
      <w:r w:rsidR="00025287" w:rsidRPr="008468F8">
        <w:rPr>
          <w:rFonts w:ascii="Times New Roman" w:hAnsi="Times New Roman" w:cs="Times New Roman"/>
          <w:sz w:val="28"/>
          <w:szCs w:val="28"/>
        </w:rPr>
        <w:t xml:space="preserve"> </w:t>
      </w:r>
      <w:r w:rsidR="00025287"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Осенью прошлого года работниками МПК Языково была отремонтирова</w:t>
      </w:r>
      <w:r w:rsidR="00D83B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крыша на котельной при депо </w:t>
      </w:r>
      <w:r w:rsidR="00025287"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своими силами и из своего строительного материала.</w:t>
      </w:r>
    </w:p>
    <w:p w:rsidR="006C4A13" w:rsidRPr="008468F8" w:rsidRDefault="006C4A13" w:rsidP="00D83BDF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 целью предотвращения возгораний в рам</w:t>
      </w:r>
      <w:r w:rsidR="009911E1"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ках пожароопасного сезона в 2025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г. проводилась постоянная работа по информированию населения о необходимости неукоснительного соблюдения мер пожарной безопасности:   </w:t>
      </w:r>
    </w:p>
    <w:p w:rsidR="006C4A13" w:rsidRPr="008468F8" w:rsidRDefault="006C4A13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- на информационных стендах размещ</w:t>
      </w:r>
      <w:r w:rsidR="00D83B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ались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агитационные материалы (листовки), информирующие население о недопустимости выжигания сухой растительности, о мерах административного воздействия в отношении нарушителей порядка выжигания сухой растительности и о последствиях для  окружающей среды, населению вруча</w:t>
      </w:r>
      <w:r w:rsidR="00D83B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лись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памятки   на противопожарную тематику; </w:t>
      </w:r>
    </w:p>
    <w:p w:rsidR="00C239D6" w:rsidRPr="008468F8" w:rsidRDefault="006C4A13" w:rsidP="006C4A13">
      <w:pPr>
        <w:shd w:val="clear" w:color="auto" w:fill="FFFFFF"/>
        <w:spacing w:after="0" w:line="242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проводились профилактические рейды по обследованию мест проживания неблагополучных семей для проведения профилактической работы, направленной на информирование о необходимости неукоснительного соблюдения  мер пожарной безопасности (с вручением памяток родителям под подпись);</w:t>
      </w:r>
      <w:r w:rsidR="00C239D6" w:rsidRPr="00846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D6" w:rsidRPr="008468F8" w:rsidRDefault="00C239D6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hAnsi="Times New Roman" w:cs="Times New Roman"/>
          <w:sz w:val="28"/>
          <w:szCs w:val="28"/>
        </w:rPr>
        <w:t xml:space="preserve">- 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устанавливались многодетным, молообеспеченным семьям  </w:t>
      </w:r>
      <w:r w:rsidR="00D83B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автономные 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пожарные извещатели</w:t>
      </w:r>
      <w:r w:rsidR="00025287"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6C4A13" w:rsidRPr="008468F8" w:rsidRDefault="006C4A13" w:rsidP="006C4A13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работниками культуры и территориального отдела проводились акции с раздачей  памяток и листовок на пожарную тематику. </w:t>
      </w:r>
    </w:p>
    <w:p w:rsidR="008A62D4" w:rsidRPr="008468F8" w:rsidRDefault="008A62D4" w:rsidP="008A62D4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A62D4" w:rsidRPr="008468F8" w:rsidRDefault="008A62D4" w:rsidP="008A62D4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«Благоустройство»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была продолжена работа по организации уличного освещения. Все заявки, поступающие от жителей по перегоревшим или неработающим фонарям не остаются без внимания, все неполадки устраняются.   </w:t>
      </w:r>
    </w:p>
    <w:p w:rsidR="009911E1" w:rsidRPr="008468F8" w:rsidRDefault="009911E1" w:rsidP="00320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субсидии на реализацию мероприятий по благоустройству сельских территорий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КРСТ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реализован проект «Установка светодиодных фонарей ул. Казанка с. Наваты Пильнинского муниципального округа Нижегородской области»</w:t>
      </w:r>
      <w:r w:rsidR="00025287" w:rsidRPr="008468F8">
        <w:rPr>
          <w:rFonts w:ascii="Times New Roman" w:hAnsi="Times New Roman" w:cs="Times New Roman"/>
          <w:sz w:val="28"/>
          <w:szCs w:val="28"/>
        </w:rPr>
        <w:t xml:space="preserve"> </w:t>
      </w:r>
      <w:r w:rsidR="00025287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686 849,40 рублей.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которых: </w:t>
      </w:r>
      <w:r w:rsidR="00025287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043A" w:rsidRP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облас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бюджета-369899,22 рублей, с</w:t>
      </w:r>
      <w:r w:rsidR="0032043A" w:rsidRP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 округа-242450,18 рублей, с</w:t>
      </w:r>
      <w:r w:rsidR="0032043A" w:rsidRP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спонсоров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(СПК «Восход»)-52000,00 рублей, с</w:t>
      </w:r>
      <w:r w:rsidR="0032043A" w:rsidRP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населения-22500,00 рублей.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287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</w:t>
      </w:r>
      <w:r w:rsidR="00025287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км, установлено 20 светильников,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287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заменены все опоры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Подрядчиком при проведении электронного аукциона выступили Россети.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1" w:rsidRPr="008468F8" w:rsidRDefault="00025287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Удалось отремонтировать уличное освещение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Фролова  с. Барятино Пильнинского муниципального округа  на сумму  228194,78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043A" w:rsidRP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финансовые средства были выделены администрацией округа.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протяженность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фонарной линии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900 метров, установлено 20 светильников. Дополнительно в ходе реализации данного объекта были закуплены кронштейны для фонарного столба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38400,00 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технологическое присоединение по двум вышеука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занным объектам по освещению  </w:t>
      </w:r>
      <w:r w:rsidR="006722BF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</w:t>
      </w:r>
      <w:r w:rsidR="006722BF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123572,42</w:t>
      </w:r>
      <w:r w:rsidR="006722BF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   И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61786,21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выделены из бюджета округа, а 61786,21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сметы территориального отдела.</w:t>
      </w:r>
    </w:p>
    <w:p w:rsidR="00D83BDF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субсидии на реализацию мероприятий по обустройству и восстановлению памятных мест посвященных Великой Отечественной войне 1941-1945 гг. нам удалось отремонтировать обелиск солдатам ВОВ в с. Наваты, и потрачено было  601829.28 рублей, из них: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-Субсидия из области -595810,99 рублей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-Средства округа-6018,29 рублей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8A5" w:rsidRDefault="00A238A5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предверии празднования 80 - летия Великой  Победы закупались и вручались памятные подарки труженникам тыла. Проводился косметический ремонт памятников и обелисков, расположенных на территории поселения силами работников культуры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Закупались и возлагались венки к 6 памятникам и обелискам.</w:t>
      </w:r>
    </w:p>
    <w:p w:rsidR="006722BF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Заменены и установлены мраморные таблички на памятнике в  с. Озерки</w:t>
      </w:r>
      <w:r w:rsidR="006722BF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BDF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83BDF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резервного фонда администрации Пильнинского муниципального округа были выделены денежные средства в сумме 67000,00 рублей  на спил и ликвидацию аварийных деревьев 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(двух тополей)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Казанка в селе Наваты Пильнинского муниципального округа Нижегородской области. </w:t>
      </w:r>
    </w:p>
    <w:p w:rsidR="00D83BDF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BF" w:rsidRPr="008468F8" w:rsidRDefault="006722B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важных вопросов остается санитарное состояние. На территории сел сбор и вывоз коммунальных отходов осуществляется региональным о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ператором ООО «МСК-НТ». Мусор вывозит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регулярно по графику. 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 сна территории 4 кладбища, з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оказание услуг по обращению с ТКО в местах захоронения было затрачено 22624,96 рублей.</w:t>
      </w:r>
    </w:p>
    <w:p w:rsidR="00D83BDF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ноября 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года у нас произошло радостное событие, было официальное открытие нового модульного ФАПа в с. Озерки в рамках реализации проекта «Здравоохранение».</w:t>
      </w:r>
    </w:p>
    <w:p w:rsidR="00D83BDF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вопросом для поселения является ремонт и </w:t>
      </w:r>
      <w:r w:rsidR="006722BF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автомобильных дорог.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протяжённость муниципальных дорог составляет 51,4 км.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содержанию дорожной сети в зимний период </w:t>
      </w:r>
    </w:p>
    <w:p w:rsidR="00D83BDF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зимнее содержание дорог потрачено 445966,56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1E1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выкашивалась сорная растительность на территории сел, вдоль обочин дорог местного значения. </w:t>
      </w:r>
    </w:p>
    <w:p w:rsidR="00D83BDF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работ по покосу сорной растительности на территории  муниципального образов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составила 585060,00 рублей.</w:t>
      </w:r>
    </w:p>
    <w:p w:rsidR="00D83BDF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1" w:rsidRPr="008468F8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21 шт. на автомобильные дороги общего пользования местного значения для Языковского территориального от</w:t>
      </w:r>
      <w:r w:rsidR="00320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на сумму 286000,00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BDF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A10" w:rsidRDefault="00D83BDF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Отремонтировали часть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ороги подъезд к кладбищу по улице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в с. Озерки Пильнинского муниципального округа на сумму 2491089,74 руб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протяженностью 400 метров. СПК «Восход» 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ремонте данной дороги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проложено еще 100 метров покрытия.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силами СПК «Восход»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большая работа по выкорчевке деревьев и кустарников 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 Озерки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Выражаем огромную благодарность правлению СПК « Восход» и лично председателю Батракову Николаю Михайловичу.</w:t>
      </w:r>
    </w:p>
    <w:p w:rsidR="009911E1" w:rsidRPr="008468F8" w:rsidRDefault="0020037C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CDC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году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д. Карачары обратились к депутату Зак</w:t>
      </w:r>
      <w:r w:rsidR="00D00CDC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онодательного 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</w:t>
      </w:r>
      <w:r w:rsidR="005C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Аксиньину Вячеславу Борисовичу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11E1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фонда поддержки территорий были выделены денежные средства на закупку щебня на сумму 149600,00</w:t>
      </w:r>
      <w:r w:rsidR="0034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чему мы очень благодарны.</w:t>
      </w:r>
    </w:p>
    <w:p w:rsidR="006C4A13" w:rsidRPr="008468F8" w:rsidRDefault="009911E1" w:rsidP="00991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Грейдирование щебеночного основания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Набережная в д. Карачары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73186,32 (ООО « Мелиоратор») из средст Языковского тер отдела</w:t>
      </w:r>
      <w:r w:rsidR="00D00CDC"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8F8" w:rsidRDefault="008468F8" w:rsidP="008A62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2D4" w:rsidRPr="008468F8" w:rsidRDefault="008A62D4" w:rsidP="008A62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«Работа учреждений культуры»</w:t>
      </w:r>
    </w:p>
    <w:p w:rsidR="006C4A13" w:rsidRPr="008468F8" w:rsidRDefault="006C4A13" w:rsidP="006C4A1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сельского поселения строится на основе тесного взаимодействия с органами власти всех уровней, с населением, организациями и учреждениями, расположенными на территории поселения.</w:t>
      </w:r>
    </w:p>
    <w:p w:rsidR="0020037C" w:rsidRDefault="006C4A13" w:rsidP="006C4A1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культурного досуга населения обеспечивается Языковским сельским Домом культуры и библиотекой, Наватским СК и библиотекой, Барятинским СК.                  </w:t>
      </w:r>
    </w:p>
    <w:p w:rsidR="009911E1" w:rsidRPr="008468F8" w:rsidRDefault="006C4A13" w:rsidP="006C4A1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Вокальные коллективы «Славия» Наватского СК и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коллектив «Гармония»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Языковского СДК принимают активное участие не только в культурной жизни нашего поселения, но и мероприятиях районного уровня.</w:t>
      </w:r>
    </w:p>
    <w:p w:rsidR="006C4A13" w:rsidRPr="008468F8" w:rsidRDefault="006C4A13" w:rsidP="006C4A1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 учреждений  культуры работают  клубные формирования . Основной клубной деятельностью  являются кружки и любительские объединения. Клубные формирования  работают в соответствии с планом работы. Руководителями клубных формирований  являются  работники учреждений  и волонтеры культуры. Деятельность клубных формирований  помогает населению не только скрасить  свой досуг, развить  творческие способности, но и дает возможность достигнуть определенных результатов.</w:t>
      </w:r>
    </w:p>
    <w:p w:rsidR="009911E1" w:rsidRPr="008468F8" w:rsidRDefault="009911E1" w:rsidP="0099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в конце 2025 года администрацией Пильнинского муниципального округа</w:t>
      </w:r>
      <w:r w:rsidR="005C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выделены 200000,00 рублей и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средства были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закуплены в Наватский сельский клуб:</w:t>
      </w:r>
      <w:r w:rsidR="0020037C" w:rsidRPr="0020037C">
        <w:t xml:space="preserve"> 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037C" w:rsidRP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оутбук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37C" w:rsidRPr="0020037C">
        <w:t xml:space="preserve"> </w:t>
      </w:r>
      <w:r w:rsidR="0020037C">
        <w:t xml:space="preserve"> </w:t>
      </w:r>
      <w:r w:rsidR="0020037C" w:rsidRP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микрофонны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037C" w:rsidRP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 </w:t>
      </w:r>
      <w:r w:rsid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микрофоны. Работать стало более комфортно.</w:t>
      </w:r>
      <w:r w:rsidR="0020037C" w:rsidRPr="0020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1E1" w:rsidRPr="008468F8" w:rsidRDefault="009911E1" w:rsidP="00991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E9" w:rsidRPr="008468F8" w:rsidRDefault="007622E9" w:rsidP="007622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b/>
          <w:sz w:val="28"/>
          <w:szCs w:val="28"/>
        </w:rPr>
        <w:t>В ходе выполнения Федерального закона от 06.10.2003 года № 131-ФЗ «Об общих принципах организации местного самоуправления в Российской Федерации»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21B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 w:rsidRPr="008468F8">
        <w:rPr>
          <w:rFonts w:ascii="Times New Roman" w:eastAsia="Calibri" w:hAnsi="Times New Roman" w:cs="Times New Roman"/>
          <w:sz w:val="28"/>
          <w:szCs w:val="28"/>
        </w:rPr>
        <w:t>Языковског</w:t>
      </w:r>
      <w:r w:rsidR="00F2521B">
        <w:rPr>
          <w:rFonts w:ascii="Times New Roman" w:eastAsia="Calibri" w:hAnsi="Times New Roman" w:cs="Times New Roman"/>
          <w:sz w:val="28"/>
          <w:szCs w:val="28"/>
        </w:rPr>
        <w:t>о территориального отдела в 2025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году решались правовые, финансовые и организационные задачи. </w:t>
      </w:r>
    </w:p>
    <w:p w:rsidR="007622E9" w:rsidRPr="008468F8" w:rsidRDefault="00F2521B" w:rsidP="007622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521B">
        <w:rPr>
          <w:rFonts w:ascii="Times New Roman" w:eastAsia="Calibri" w:hAnsi="Times New Roman" w:cs="Times New Roman"/>
          <w:sz w:val="28"/>
          <w:szCs w:val="28"/>
        </w:rPr>
        <w:t>Ведется работа в программах ФИАС (адресная система)  и ГИС ЖКХ, электронная похозяйственная книга. В 2025 год</w:t>
      </w:r>
      <w:r w:rsidR="005C49C2">
        <w:rPr>
          <w:rFonts w:ascii="Times New Roman" w:eastAsia="Calibri" w:hAnsi="Times New Roman" w:cs="Times New Roman"/>
          <w:sz w:val="28"/>
          <w:szCs w:val="28"/>
        </w:rPr>
        <w:t>у</w:t>
      </w:r>
      <w:r w:rsidRPr="00F2521B">
        <w:rPr>
          <w:rFonts w:ascii="Times New Roman" w:eastAsia="Calibri" w:hAnsi="Times New Roman" w:cs="Times New Roman"/>
          <w:sz w:val="28"/>
          <w:szCs w:val="28"/>
        </w:rPr>
        <w:t xml:space="preserve"> начата работа по ин</w:t>
      </w:r>
      <w:r>
        <w:rPr>
          <w:rFonts w:ascii="Times New Roman" w:eastAsia="Calibri" w:hAnsi="Times New Roman" w:cs="Times New Roman"/>
          <w:sz w:val="28"/>
          <w:szCs w:val="28"/>
        </w:rPr>
        <w:t>вентаризации кладбищ,</w:t>
      </w:r>
      <w:r w:rsidRPr="00F2521B">
        <w:rPr>
          <w:rFonts w:ascii="Times New Roman" w:eastAsia="Calibri" w:hAnsi="Times New Roman" w:cs="Times New Roman"/>
          <w:sz w:val="28"/>
          <w:szCs w:val="28"/>
        </w:rPr>
        <w:t xml:space="preserve"> земельные участки кладбищ все  поставлены на кадастровый учет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622E9" w:rsidRPr="008468F8"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периода специалистами территориального отдела  выдавались справки, выписки гражданам,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велась работа </w:t>
      </w:r>
      <w:r w:rsidR="007622E9" w:rsidRPr="008468F8">
        <w:rPr>
          <w:rFonts w:ascii="Times New Roman" w:eastAsia="Calibri" w:hAnsi="Times New Roman" w:cs="Times New Roman"/>
          <w:sz w:val="28"/>
          <w:szCs w:val="28"/>
        </w:rPr>
        <w:t>в обеспечении жителей отдаленных деревень сжиженным баллонным газом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7622E9" w:rsidRPr="008468F8" w:rsidRDefault="00F2521B" w:rsidP="00F252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521B">
        <w:rPr>
          <w:rFonts w:ascii="Times New Roman" w:eastAsia="Calibri" w:hAnsi="Times New Roman" w:cs="Times New Roman"/>
          <w:sz w:val="28"/>
          <w:szCs w:val="28"/>
        </w:rPr>
        <w:t xml:space="preserve">Для информирования населения о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Языковского </w:t>
      </w:r>
      <w:r w:rsidRPr="00F2521B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отдела функционирует раздел отдела на официальном сайте администрации Пильнинского  муниципального округа, так 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группы </w:t>
      </w:r>
      <w:r w:rsidR="00AA587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месенджерах МАХ и  ВК, где  </w:t>
      </w:r>
      <w:r w:rsidRPr="00F2521B">
        <w:rPr>
          <w:rFonts w:ascii="Times New Roman" w:eastAsia="Calibri" w:hAnsi="Times New Roman" w:cs="Times New Roman"/>
          <w:sz w:val="28"/>
          <w:szCs w:val="28"/>
        </w:rPr>
        <w:t xml:space="preserve">проводится регулярное информирование населения об актуальных событиях и мероприятиях в муниципальном образовании, информация по благоустройству, спортивные достижения и другая </w:t>
      </w:r>
      <w:r w:rsidR="00AA5872">
        <w:rPr>
          <w:rFonts w:ascii="Times New Roman" w:eastAsia="Calibri" w:hAnsi="Times New Roman" w:cs="Times New Roman"/>
          <w:sz w:val="28"/>
          <w:szCs w:val="28"/>
        </w:rPr>
        <w:t xml:space="preserve">полезная </w:t>
      </w:r>
      <w:r w:rsidRPr="00F2521B">
        <w:rPr>
          <w:rFonts w:ascii="Times New Roman" w:eastAsia="Calibri" w:hAnsi="Times New Roman" w:cs="Times New Roman"/>
          <w:sz w:val="28"/>
          <w:szCs w:val="28"/>
        </w:rPr>
        <w:t>информация.</w:t>
      </w:r>
    </w:p>
    <w:p w:rsidR="007622E9" w:rsidRPr="008468F8" w:rsidRDefault="007622E9" w:rsidP="008A6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E9" w:rsidRPr="008468F8" w:rsidRDefault="009911E1" w:rsidP="00D0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реализованных в 2025</w:t>
      </w:r>
      <w:r w:rsidR="007622E9"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622E9" w:rsidRPr="008468F8" w:rsidRDefault="007622E9" w:rsidP="00D00C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программах, соисполнителем которых является</w:t>
      </w:r>
    </w:p>
    <w:p w:rsidR="007622E9" w:rsidRPr="008468F8" w:rsidRDefault="007622E9" w:rsidP="00D00C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Языковский территориальный отдел</w:t>
      </w:r>
    </w:p>
    <w:p w:rsidR="007622E9" w:rsidRPr="008468F8" w:rsidRDefault="007622E9" w:rsidP="007622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3"/>
        <w:gridCol w:w="1984"/>
      </w:tblGrid>
      <w:tr w:rsidR="006D12F9" w:rsidRPr="008468F8" w:rsidTr="000E19C9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9" w:rsidRPr="00A61A38" w:rsidRDefault="006D12F9" w:rsidP="000B3A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предусмотренная на 2025 год, </w:t>
            </w:r>
          </w:p>
          <w:p w:rsidR="006D12F9" w:rsidRPr="00A61A38" w:rsidRDefault="006D12F9" w:rsidP="000B3A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9" w:rsidRPr="00A61A38" w:rsidRDefault="006D12F9" w:rsidP="000B3A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Исполнение, </w:t>
            </w:r>
          </w:p>
          <w:p w:rsidR="006D12F9" w:rsidRPr="00A61A38" w:rsidRDefault="006D12F9" w:rsidP="000B3A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</w:tr>
      <w:tr w:rsidR="006D12F9" w:rsidRPr="008468F8" w:rsidTr="000E19C9">
        <w:trPr>
          <w:trHeight w:val="1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округа Нижегородской области на 2018-202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3837,0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3836,1</w:t>
            </w:r>
          </w:p>
        </w:tc>
      </w:tr>
      <w:tr w:rsidR="006D12F9" w:rsidRPr="008468F8" w:rsidTr="000E19C9">
        <w:trPr>
          <w:trHeight w:val="13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«Комплексное развитие систем коммунальной инфраструктуры Пильнинского муниципального округа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4352,2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3909,9</w:t>
            </w:r>
          </w:p>
        </w:tc>
      </w:tr>
      <w:tr w:rsidR="006D12F9" w:rsidRPr="008468F8" w:rsidTr="000E19C9">
        <w:trPr>
          <w:trHeight w:val="12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«Комплексное развитие систем коммунальной инфраструктуры Пильнинского муниципального округа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6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4064,4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3855,0</w:t>
            </w:r>
          </w:p>
        </w:tc>
      </w:tr>
      <w:tr w:rsidR="006D12F9" w:rsidRPr="008468F8" w:rsidTr="000E19C9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F9" w:rsidRPr="00A61A38" w:rsidRDefault="006D12F9" w:rsidP="000B3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округа Нижегоросдкой области на 2018-2027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2F9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2F9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</w:tr>
      <w:tr w:rsidR="006D12F9" w:rsidRPr="008468F8" w:rsidTr="000E19C9">
        <w:trPr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9" w:rsidRPr="00A61A38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2F9" w:rsidRPr="00A61A38" w:rsidRDefault="006D12F9" w:rsidP="000B3A7C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Муниципальная программа</w:t>
            </w:r>
          </w:p>
          <w:p w:rsidR="006D12F9" w:rsidRPr="00A61A38" w:rsidRDefault="006D12F9" w:rsidP="000B3A7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A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«Развитие культуры Пильнинского округа Нижегородской области на 2018-202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A61A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2897,0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2F9" w:rsidRPr="005E12A1" w:rsidRDefault="006D12F9" w:rsidP="000B3A7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2794,8</w:t>
            </w:r>
          </w:p>
        </w:tc>
      </w:tr>
    </w:tbl>
    <w:p w:rsidR="007622E9" w:rsidRPr="008468F8" w:rsidRDefault="007622E9" w:rsidP="007622E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7622E9" w:rsidRPr="008468F8" w:rsidRDefault="007622E9" w:rsidP="007622E9">
      <w:pPr>
        <w:tabs>
          <w:tab w:val="center" w:pos="5046"/>
          <w:tab w:val="left" w:pos="81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финансовый контроль</w:t>
      </w:r>
    </w:p>
    <w:p w:rsidR="007622E9" w:rsidRPr="008468F8" w:rsidRDefault="00D00CDC" w:rsidP="007622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37C">
        <w:rPr>
          <w:rFonts w:ascii="Times New Roman" w:eastAsia="Calibri" w:hAnsi="Times New Roman" w:cs="Times New Roman"/>
          <w:sz w:val="28"/>
          <w:szCs w:val="28"/>
        </w:rPr>
        <w:t>В 2025</w:t>
      </w:r>
      <w:r w:rsidR="007622E9" w:rsidRPr="0020037C">
        <w:rPr>
          <w:rFonts w:ascii="Times New Roman" w:eastAsia="Calibri" w:hAnsi="Times New Roman" w:cs="Times New Roman"/>
          <w:sz w:val="28"/>
          <w:szCs w:val="28"/>
        </w:rPr>
        <w:t xml:space="preserve"> году проводились внешние контрольные мероприятия контрольно-счетной комиссией Пильнинского муниципального округа по проверке годовой отчетности за 202</w:t>
      </w:r>
      <w:r w:rsidRPr="0020037C">
        <w:rPr>
          <w:rFonts w:ascii="Times New Roman" w:eastAsia="Calibri" w:hAnsi="Times New Roman" w:cs="Times New Roman"/>
          <w:sz w:val="28"/>
          <w:szCs w:val="28"/>
        </w:rPr>
        <w:t>4</w:t>
      </w:r>
      <w:r w:rsidR="007622E9" w:rsidRPr="0020037C">
        <w:rPr>
          <w:rFonts w:ascii="Times New Roman" w:eastAsia="Calibri" w:hAnsi="Times New Roman" w:cs="Times New Roman"/>
          <w:sz w:val="28"/>
          <w:szCs w:val="28"/>
        </w:rPr>
        <w:t>г. (</w:t>
      </w:r>
      <w:r w:rsidR="0020037C" w:rsidRPr="0020037C">
        <w:rPr>
          <w:rFonts w:ascii="Times New Roman" w:eastAsia="Calibri" w:hAnsi="Times New Roman" w:cs="Times New Roman"/>
          <w:sz w:val="28"/>
          <w:szCs w:val="28"/>
        </w:rPr>
        <w:t>заключение  от 19.03.2025</w:t>
      </w:r>
      <w:r w:rsidR="007622E9" w:rsidRPr="0020037C">
        <w:rPr>
          <w:rFonts w:ascii="Times New Roman" w:eastAsia="Calibri" w:hAnsi="Times New Roman" w:cs="Times New Roman"/>
          <w:sz w:val="28"/>
          <w:szCs w:val="28"/>
        </w:rPr>
        <w:t xml:space="preserve"> г. № 01-14-</w:t>
      </w:r>
      <w:r w:rsidR="0020037C" w:rsidRPr="0020037C">
        <w:rPr>
          <w:rFonts w:ascii="Times New Roman" w:eastAsia="Calibri" w:hAnsi="Times New Roman" w:cs="Times New Roman"/>
          <w:sz w:val="28"/>
          <w:szCs w:val="28"/>
        </w:rPr>
        <w:t>23</w:t>
      </w:r>
      <w:r w:rsidR="007622E9" w:rsidRPr="0020037C">
        <w:rPr>
          <w:rFonts w:ascii="Times New Roman" w:eastAsia="Calibri" w:hAnsi="Times New Roman" w:cs="Times New Roman"/>
          <w:sz w:val="28"/>
          <w:szCs w:val="28"/>
        </w:rPr>
        <w:t>).</w:t>
      </w:r>
      <w:r w:rsidR="007622E9"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22E9" w:rsidRPr="008468F8" w:rsidRDefault="007622E9" w:rsidP="007622E9">
      <w:pPr>
        <w:rPr>
          <w:rFonts w:ascii="Times New Roman" w:eastAsia="Calibri" w:hAnsi="Times New Roman" w:cs="Times New Roman"/>
          <w:sz w:val="28"/>
          <w:szCs w:val="28"/>
        </w:rPr>
      </w:pPr>
    </w:p>
    <w:p w:rsidR="007622E9" w:rsidRPr="008468F8" w:rsidRDefault="007622E9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622E9" w:rsidRPr="008468F8" w:rsidRDefault="007622E9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0CDC" w:rsidRPr="008468F8" w:rsidRDefault="00D00CDC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7A3D" w:rsidRDefault="00D77A3D" w:rsidP="00D77A3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7A3D" w:rsidRPr="008468F8" w:rsidRDefault="00D77A3D" w:rsidP="00D77A3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муниципальных программ  </w:t>
      </w:r>
    </w:p>
    <w:p w:rsidR="00D77A3D" w:rsidRPr="008468F8" w:rsidRDefault="00D77A3D" w:rsidP="00D77A3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Языковского территориального отдела администрации Пильнинского муниципального округа Нижегородской области</w:t>
      </w:r>
    </w:p>
    <w:p w:rsidR="00D77A3D" w:rsidRPr="008468F8" w:rsidRDefault="00D77A3D" w:rsidP="00D77A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расходах на реализацию муниципальной программы, соисполнителем которых является </w:t>
      </w:r>
    </w:p>
    <w:p w:rsidR="00D77A3D" w:rsidRPr="008468F8" w:rsidRDefault="00D77A3D" w:rsidP="00D77A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Языковский территориальный отдел  </w:t>
      </w:r>
    </w:p>
    <w:tbl>
      <w:tblPr>
        <w:tblpPr w:leftFromText="180" w:rightFromText="180" w:vertAnchor="page" w:horzAnchor="margin" w:tblpX="-1410" w:tblpY="3757"/>
        <w:tblW w:w="108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2551"/>
        <w:gridCol w:w="2835"/>
        <w:gridCol w:w="1276"/>
        <w:gridCol w:w="1417"/>
      </w:tblGrid>
      <w:tr w:rsidR="00D77A3D" w:rsidRPr="005E12A1" w:rsidTr="000B3A7C">
        <w:trPr>
          <w:trHeight w:val="1538"/>
          <w:tblCellSpacing w:w="5" w:type="nil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Статус и наименование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Соисполнитель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ресурсного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</w:p>
          <w:p w:rsidR="00D77A3D" w:rsidRPr="005E12A1" w:rsidRDefault="00A238A5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w:anchor="Par319" w:history="1">
              <w:r w:rsidR="00D77A3D" w:rsidRPr="005E12A1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Фактические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</w:p>
          <w:p w:rsidR="00D77A3D" w:rsidRPr="005E12A1" w:rsidRDefault="00A238A5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w:anchor="Par320" w:history="1">
              <w:r w:rsidR="00D77A3D" w:rsidRPr="005E12A1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D77A3D" w:rsidRPr="005E12A1" w:rsidTr="000B3A7C">
        <w:trPr>
          <w:trHeight w:val="90"/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A3D" w:rsidRPr="005E12A1" w:rsidTr="000B3A7C">
        <w:trPr>
          <w:trHeight w:val="292"/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77A3D" w:rsidRPr="005E12A1" w:rsidTr="000B3A7C">
        <w:trPr>
          <w:trHeight w:val="243"/>
          <w:tblCellSpacing w:w="5" w:type="nil"/>
        </w:trPr>
        <w:tc>
          <w:tcPr>
            <w:tcW w:w="27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Языковский 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15217,6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4462,8</w:t>
            </w:r>
          </w:p>
        </w:tc>
      </w:tr>
      <w:tr w:rsidR="00D77A3D" w:rsidRPr="005E12A1" w:rsidTr="000B3A7C">
        <w:trPr>
          <w:trHeight w:val="285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343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1115,3</w:t>
            </w:r>
          </w:p>
        </w:tc>
      </w:tr>
      <w:tr w:rsidR="00D77A3D" w:rsidRPr="005E12A1" w:rsidTr="000B3A7C">
        <w:trPr>
          <w:trHeight w:val="276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14027,8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13273,0</w:t>
            </w:r>
          </w:p>
        </w:tc>
      </w:tr>
      <w:tr w:rsidR="00D77A3D" w:rsidRPr="005E12A1" w:rsidTr="000B3A7C">
        <w:trPr>
          <w:trHeight w:val="285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прочие источники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74,5</w:t>
            </w:r>
          </w:p>
        </w:tc>
      </w:tr>
      <w:tr w:rsidR="00D77A3D" w:rsidRPr="005E12A1" w:rsidTr="000B3A7C">
        <w:trPr>
          <w:trHeight w:val="291"/>
          <w:tblCellSpacing w:w="5" w:type="nil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 людей на водных объектах Пильнинского муниципального округа Нижегородской области на 2018-202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Языковский территориальный отдел администрации Пильнинского муниципального округа Нижегородской области 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3837,0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3836,1</w:t>
            </w:r>
          </w:p>
        </w:tc>
      </w:tr>
      <w:tr w:rsidR="00D77A3D" w:rsidRPr="005E12A1" w:rsidTr="000B3A7C">
        <w:trPr>
          <w:trHeight w:val="311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274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272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3837,0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sz w:val="28"/>
                <w:szCs w:val="28"/>
              </w:rPr>
              <w:t>3836,1</w:t>
            </w:r>
          </w:p>
        </w:tc>
      </w:tr>
      <w:tr w:rsidR="00D77A3D" w:rsidRPr="005E12A1" w:rsidTr="000B3A7C">
        <w:trPr>
          <w:trHeight w:val="209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прочие источники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173"/>
          <w:tblCellSpacing w:w="5" w:type="nil"/>
        </w:trPr>
        <w:tc>
          <w:tcPr>
            <w:tcW w:w="27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Муниципальная программа «Комплексное развитие систем коммунальной инфраструктуры Пильнинского муниципального округа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годы» Дорожное хозяйство (дорожные фонды)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Языковский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4352,2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3909,9</w:t>
            </w:r>
          </w:p>
        </w:tc>
      </w:tr>
      <w:tr w:rsidR="00D77A3D" w:rsidRPr="005E12A1" w:rsidTr="000B3A7C">
        <w:trPr>
          <w:trHeight w:val="233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261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123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3909,9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прочие источники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«Комплексное развитие систем коммунальной инфраструктуры Пильнинского муниципальног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округа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годы»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(Благоустройство)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Языковский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3855,0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1115,3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2665,2</w:t>
            </w:r>
          </w:p>
        </w:tc>
      </w:tr>
      <w:tr w:rsidR="00D77A3D" w:rsidRPr="005E12A1" w:rsidTr="000B3A7C">
        <w:trPr>
          <w:trHeight w:val="652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прочие источники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74,5</w:t>
            </w:r>
          </w:p>
        </w:tc>
      </w:tr>
      <w:tr w:rsidR="00D77A3D" w:rsidRPr="005E12A1" w:rsidTr="000B3A7C">
        <w:trPr>
          <w:trHeight w:val="811"/>
          <w:tblCellSpacing w:w="5" w:type="nil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округа Нижегоросдкой области на 2018-2027 годы»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>Языковский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</w:tr>
      <w:tr w:rsidR="00D77A3D" w:rsidRPr="005E12A1" w:rsidTr="000B3A7C">
        <w:trPr>
          <w:trHeight w:val="813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Pr="003E7FB9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федеральный бюджет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751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Pr="003E7FB9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Pr="003E7F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876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3D" w:rsidRPr="003E7FB9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67,0</w:t>
            </w:r>
          </w:p>
        </w:tc>
      </w:tr>
      <w:tr w:rsidR="00D77A3D" w:rsidRPr="005E12A1" w:rsidTr="000B3A7C">
        <w:trPr>
          <w:trHeight w:val="3932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3E7FB9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ind w:left="7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  <w:r w:rsidRPr="005E1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Муниципальная программа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«Развитие культуры Пильнинского округа Нижегородской области на 2018-202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5E12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годы»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Языковский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  <w:hyperlink w:anchor="Par29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(1)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298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(2)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1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(3)</w:t>
              </w:r>
            </w:hyperlink>
            <w:r w:rsidRPr="005E12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</w:t>
            </w:r>
            <w:hyperlink w:anchor="Par304" w:history="1">
              <w:r w:rsidRPr="005E12A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2794,8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77A3D" w:rsidRPr="005E12A1" w:rsidTr="000B3A7C">
        <w:trPr>
          <w:trHeight w:val="328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2794,8</w:t>
            </w:r>
          </w:p>
        </w:tc>
      </w:tr>
      <w:tr w:rsidR="00D77A3D" w:rsidRPr="005E12A1" w:rsidTr="000B3A7C">
        <w:trPr>
          <w:trHeight w:val="307"/>
          <w:tblCellSpacing w:w="5" w:type="nil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12A1">
              <w:rPr>
                <w:rFonts w:ascii="Times New Roman" w:eastAsia="Calibri" w:hAnsi="Times New Roman" w:cs="Times New Roman"/>
                <w:sz w:val="28"/>
                <w:szCs w:val="28"/>
              </w:rPr>
              <w:t>прочие источники</w:t>
            </w:r>
          </w:p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Pr="005E12A1" w:rsidRDefault="00D77A3D" w:rsidP="000B3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77A3D" w:rsidRPr="005E12A1" w:rsidRDefault="00D77A3D" w:rsidP="00D77A3D">
      <w:pPr>
        <w:rPr>
          <w:rFonts w:ascii="Times New Roman" w:eastAsia="Calibri" w:hAnsi="Times New Roman" w:cs="Times New Roman"/>
          <w:sz w:val="28"/>
          <w:szCs w:val="28"/>
        </w:rPr>
      </w:pPr>
    </w:p>
    <w:p w:rsidR="008468F8" w:rsidRDefault="008468F8" w:rsidP="007622E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7A3D" w:rsidRDefault="00D77A3D" w:rsidP="00CA4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1E1" w:rsidRPr="008468F8" w:rsidRDefault="00C239D6" w:rsidP="00CA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8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 планах на 2026</w:t>
      </w:r>
      <w:r w:rsidR="00CA4B55" w:rsidRPr="008468F8">
        <w:rPr>
          <w:rFonts w:ascii="Times New Roman" w:eastAsia="Calibri" w:hAnsi="Times New Roman" w:cs="Times New Roman"/>
          <w:b/>
          <w:sz w:val="28"/>
          <w:szCs w:val="28"/>
        </w:rPr>
        <w:t xml:space="preserve"> год:    </w:t>
      </w:r>
    </w:p>
    <w:p w:rsidR="00C239D6" w:rsidRPr="008468F8" w:rsidRDefault="00C239D6" w:rsidP="00CA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1E1" w:rsidRPr="008468F8" w:rsidRDefault="00CA4B55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 xml:space="preserve">В текущем году мы продолжим работу по организации уличного освещения.                                                                                                           </w:t>
      </w:r>
    </w:p>
    <w:p w:rsidR="005C49C2" w:rsidRDefault="009911E1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- По программе КРСТ (комплексное развитие сельских территорий) мы подавали заявку в 2025 году, прошли конкурсный отбор и будем реализовывать проект 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«Устройство </w:t>
      </w:r>
      <w:r w:rsidRPr="008468F8">
        <w:rPr>
          <w:rFonts w:ascii="Times New Roman" w:eastAsia="Calibri" w:hAnsi="Times New Roman" w:cs="Times New Roman"/>
          <w:sz w:val="28"/>
          <w:szCs w:val="28"/>
        </w:rPr>
        <w:t>улично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8468F8">
        <w:rPr>
          <w:rFonts w:ascii="Times New Roman" w:eastAsia="Calibri" w:hAnsi="Times New Roman" w:cs="Times New Roman"/>
          <w:sz w:val="28"/>
          <w:szCs w:val="28"/>
        </w:rPr>
        <w:t>освещени</w:t>
      </w:r>
      <w:r w:rsidR="005C49C2">
        <w:rPr>
          <w:rFonts w:ascii="Times New Roman" w:eastAsia="Calibri" w:hAnsi="Times New Roman" w:cs="Times New Roman"/>
          <w:sz w:val="28"/>
          <w:szCs w:val="28"/>
        </w:rPr>
        <w:t>я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9C2">
        <w:rPr>
          <w:rFonts w:ascii="Times New Roman" w:eastAsia="Calibri" w:hAnsi="Times New Roman" w:cs="Times New Roman"/>
          <w:sz w:val="28"/>
          <w:szCs w:val="28"/>
        </w:rPr>
        <w:t>по ул. Коммунистическая</w:t>
      </w:r>
      <w:r w:rsidR="005C49C2" w:rsidRPr="005C49C2">
        <w:t xml:space="preserve"> </w:t>
      </w:r>
      <w:r w:rsidR="005C49C2" w:rsidRPr="005C49C2">
        <w:rPr>
          <w:rFonts w:ascii="Times New Roman" w:eastAsia="Calibri" w:hAnsi="Times New Roman" w:cs="Times New Roman"/>
          <w:sz w:val="28"/>
          <w:szCs w:val="28"/>
        </w:rPr>
        <w:t>в с. Языково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 Пильнинского муниципального округа Нижегородской области». 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Состоялись торги, в результате проведения конкурсных процедур цена снизилась на 26,5 процентов и составила 446818,12 руб.  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Из которых: </w:t>
      </w:r>
      <w:r w:rsidR="005C49C2" w:rsidRPr="005C49C2">
        <w:rPr>
          <w:rFonts w:ascii="Times New Roman" w:eastAsia="Calibri" w:hAnsi="Times New Roman" w:cs="Times New Roman"/>
          <w:sz w:val="28"/>
          <w:szCs w:val="28"/>
        </w:rPr>
        <w:t xml:space="preserve">46000 рублей на реализацию данного проекта </w:t>
      </w:r>
      <w:r w:rsidR="005C49C2">
        <w:rPr>
          <w:rFonts w:ascii="Times New Roman" w:eastAsia="Calibri" w:hAnsi="Times New Roman" w:cs="Times New Roman"/>
          <w:sz w:val="28"/>
          <w:szCs w:val="28"/>
        </w:rPr>
        <w:t>- средства спонсоров</w:t>
      </w:r>
      <w:r w:rsidR="005C49C2" w:rsidRPr="005C49C2">
        <w:rPr>
          <w:rFonts w:ascii="Times New Roman" w:eastAsia="Calibri" w:hAnsi="Times New Roman" w:cs="Times New Roman"/>
          <w:sz w:val="28"/>
          <w:szCs w:val="28"/>
        </w:rPr>
        <w:t xml:space="preserve">, 20000 рублей – средства жителей, 284951,63 рублей </w:t>
      </w:r>
      <w:r w:rsidR="005C49C2">
        <w:rPr>
          <w:rFonts w:ascii="Times New Roman" w:eastAsia="Calibri" w:hAnsi="Times New Roman" w:cs="Times New Roman"/>
          <w:sz w:val="28"/>
          <w:szCs w:val="28"/>
        </w:rPr>
        <w:t>-</w:t>
      </w:r>
      <w:r w:rsidR="005C49C2" w:rsidRPr="005C49C2">
        <w:rPr>
          <w:rFonts w:ascii="Times New Roman" w:eastAsia="Calibri" w:hAnsi="Times New Roman" w:cs="Times New Roman"/>
          <w:sz w:val="28"/>
          <w:szCs w:val="28"/>
        </w:rPr>
        <w:t xml:space="preserve">субсидия из областного бюджета, 95866,49 руб. 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5C49C2" w:rsidRPr="005C49C2">
        <w:rPr>
          <w:rFonts w:ascii="Times New Roman" w:eastAsia="Calibri" w:hAnsi="Times New Roman" w:cs="Times New Roman"/>
          <w:sz w:val="28"/>
          <w:szCs w:val="28"/>
        </w:rPr>
        <w:t>из бюджета округа.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Подрядчиком данных работ выступили Россети. </w:t>
      </w:r>
    </w:p>
    <w:p w:rsidR="009911E1" w:rsidRPr="008468F8" w:rsidRDefault="009911E1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Экспертиза сметной документации по объекту « Установка светодиодных фонарей по ул. Коммунистическая в с. Языково» </w:t>
      </w:r>
      <w:r w:rsidR="0020037C"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12772 рублей.</w:t>
      </w:r>
    </w:p>
    <w:p w:rsidR="009911E1" w:rsidRPr="008468F8" w:rsidRDefault="009911E1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9C2" w:rsidRDefault="009911E1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К сожалению, в 2026 году мы не примем участие в реализации проект</w:t>
      </w:r>
      <w:r w:rsidR="0020037C">
        <w:rPr>
          <w:rFonts w:ascii="Times New Roman" w:eastAsia="Calibri" w:hAnsi="Times New Roman" w:cs="Times New Roman"/>
          <w:sz w:val="28"/>
          <w:szCs w:val="28"/>
        </w:rPr>
        <w:t xml:space="preserve">ов инициативного бюджетирования 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«Вам решать</w:t>
      </w:r>
      <w:r w:rsidR="0020037C">
        <w:rPr>
          <w:rFonts w:ascii="Times New Roman" w:eastAsia="Calibri" w:hAnsi="Times New Roman" w:cs="Times New Roman"/>
          <w:sz w:val="28"/>
          <w:szCs w:val="28"/>
        </w:rPr>
        <w:t>!</w:t>
      </w:r>
      <w:r w:rsidRPr="008468F8">
        <w:rPr>
          <w:rFonts w:ascii="Times New Roman" w:eastAsia="Calibri" w:hAnsi="Times New Roman" w:cs="Times New Roman"/>
          <w:sz w:val="28"/>
          <w:szCs w:val="28"/>
        </w:rPr>
        <w:t>»</w:t>
      </w:r>
      <w:r w:rsidR="002003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37C">
        <w:rPr>
          <w:rFonts w:ascii="Times New Roman" w:eastAsia="Calibri" w:hAnsi="Times New Roman" w:cs="Times New Roman"/>
          <w:sz w:val="28"/>
          <w:szCs w:val="28"/>
        </w:rPr>
        <w:t xml:space="preserve">Нами </w:t>
      </w:r>
      <w:r w:rsidR="005C49C2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 w:rsidR="0020037C">
        <w:rPr>
          <w:rFonts w:ascii="Times New Roman" w:eastAsia="Calibri" w:hAnsi="Times New Roman" w:cs="Times New Roman"/>
          <w:sz w:val="28"/>
          <w:szCs w:val="28"/>
        </w:rPr>
        <w:t xml:space="preserve">были поданы две заявки: </w:t>
      </w:r>
    </w:p>
    <w:p w:rsidR="0020037C" w:rsidRDefault="0020037C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«Ремонт участка автомобильной дороги 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 xml:space="preserve">по ул. Большая  до кладбища в с. Озерки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Пильнинского муниципального округа Нижегородской области»;</w:t>
      </w:r>
    </w:p>
    <w:p w:rsidR="00345A10" w:rsidRDefault="0020037C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0037C">
        <w:rPr>
          <w:rFonts w:ascii="Times New Roman" w:eastAsia="Calibri" w:hAnsi="Times New Roman" w:cs="Times New Roman"/>
          <w:sz w:val="28"/>
          <w:szCs w:val="28"/>
        </w:rPr>
        <w:t xml:space="preserve">«Ремонт автомобильной дороги по </w:t>
      </w:r>
      <w:r w:rsidR="00345A10" w:rsidRPr="00345A10">
        <w:rPr>
          <w:rFonts w:ascii="Times New Roman" w:eastAsia="Calibri" w:hAnsi="Times New Roman" w:cs="Times New Roman"/>
          <w:sz w:val="28"/>
          <w:szCs w:val="28"/>
        </w:rPr>
        <w:t xml:space="preserve">улице Ленина в с. Языково </w:t>
      </w:r>
      <w:r w:rsidRPr="0020037C">
        <w:rPr>
          <w:rFonts w:ascii="Times New Roman" w:eastAsia="Calibri" w:hAnsi="Times New Roman" w:cs="Times New Roman"/>
          <w:sz w:val="28"/>
          <w:szCs w:val="28"/>
        </w:rPr>
        <w:t>Пильнинского муниципального округа Нижегородской области»</w:t>
      </w:r>
      <w:r w:rsidR="00345A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1E1" w:rsidRPr="008468F8" w:rsidRDefault="00345A10" w:rsidP="00991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 xml:space="preserve">о мы не прошли конкурсный отбор, не набрали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нужного количества </w:t>
      </w:r>
      <w:r w:rsidR="009911E1" w:rsidRPr="008468F8">
        <w:rPr>
          <w:rFonts w:ascii="Times New Roman" w:eastAsia="Calibri" w:hAnsi="Times New Roman" w:cs="Times New Roman"/>
          <w:sz w:val="28"/>
          <w:szCs w:val="28"/>
        </w:rPr>
        <w:t xml:space="preserve">баллов в результате народного голосования.  </w:t>
      </w:r>
    </w:p>
    <w:p w:rsidR="00CA4B55" w:rsidRPr="008468F8" w:rsidRDefault="00CA4B55" w:rsidP="00CA4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9D6" w:rsidRPr="008468F8" w:rsidRDefault="008468F8" w:rsidP="00C23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239D6" w:rsidRPr="008468F8">
        <w:rPr>
          <w:rFonts w:ascii="Times New Roman" w:eastAsia="Calibri" w:hAnsi="Times New Roman" w:cs="Times New Roman"/>
          <w:sz w:val="28"/>
          <w:szCs w:val="28"/>
        </w:rPr>
        <w:t>бращения</w:t>
      </w:r>
      <w:r w:rsidR="00345A10">
        <w:rPr>
          <w:rFonts w:ascii="Times New Roman" w:eastAsia="Calibri" w:hAnsi="Times New Roman" w:cs="Times New Roman"/>
          <w:sz w:val="28"/>
          <w:szCs w:val="28"/>
        </w:rPr>
        <w:t>,</w:t>
      </w:r>
      <w:r w:rsidR="00C239D6" w:rsidRPr="008468F8">
        <w:rPr>
          <w:rFonts w:ascii="Times New Roman" w:eastAsia="Calibri" w:hAnsi="Times New Roman" w:cs="Times New Roman"/>
          <w:sz w:val="28"/>
          <w:szCs w:val="28"/>
        </w:rPr>
        <w:t xml:space="preserve"> которые к нам поступают от жителей, мы стараемся исполнять. Но многие </w:t>
      </w:r>
      <w:r>
        <w:rPr>
          <w:rFonts w:ascii="Times New Roman" w:eastAsia="Calibri" w:hAnsi="Times New Roman" w:cs="Times New Roman"/>
          <w:sz w:val="28"/>
          <w:szCs w:val="28"/>
        </w:rPr>
        <w:t>из них</w:t>
      </w:r>
      <w:r w:rsidR="00C239D6" w:rsidRPr="008468F8">
        <w:rPr>
          <w:rFonts w:ascii="Times New Roman" w:eastAsia="Calibri" w:hAnsi="Times New Roman" w:cs="Times New Roman"/>
          <w:sz w:val="28"/>
          <w:szCs w:val="28"/>
        </w:rPr>
        <w:t xml:space="preserve"> требуют дополнительных финансовых средств, которых у нас просто нет. </w:t>
      </w:r>
    </w:p>
    <w:p w:rsidR="00CA4B55" w:rsidRPr="008468F8" w:rsidRDefault="00C239D6" w:rsidP="00C23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В текущем году продолжим  свою работу в тесном сотрудничестве с администраций Пильнинского  муниципального округа, со всеми предприятиями, учреждениями и жителями поселения.</w:t>
      </w:r>
      <w:bookmarkStart w:id="1" w:name="_GoBack"/>
      <w:bookmarkEnd w:id="1"/>
    </w:p>
    <w:p w:rsidR="00345A10" w:rsidRDefault="00345A10" w:rsidP="00CA4B5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B55" w:rsidRPr="008468F8" w:rsidRDefault="00CA4B55" w:rsidP="00CA4B55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 огромную благодарность администрации Пильнинского муниципального округа в лице Главы МСУ Бочканова Сергея Алексеевича</w:t>
      </w:r>
      <w:r w:rsidRPr="00846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помощь и за поддержку в работе, всем  работникам Языковского территориального отдела, руководителям организаций, расположенных на территории поселения, работникам культуры, социальным работникам  и неравнодушным жителям поселения за поддержку во всех делах и начинаниях.</w:t>
      </w:r>
    </w:p>
    <w:p w:rsidR="008A62D4" w:rsidRPr="008468F8" w:rsidRDefault="00C239D6" w:rsidP="00A238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8F8">
        <w:rPr>
          <w:rFonts w:ascii="Times New Roman" w:eastAsia="Calibri" w:hAnsi="Times New Roman" w:cs="Times New Roman"/>
          <w:sz w:val="28"/>
          <w:szCs w:val="28"/>
        </w:rPr>
        <w:t>Желаем всем крепкого здоровья, мира, семейного благополучия, успехов в решении стоящих перед нами задач!                                                                                                          Спасибо за внимание!</w:t>
      </w:r>
    </w:p>
    <w:p w:rsidR="003635F2" w:rsidRPr="008468F8" w:rsidRDefault="003635F2">
      <w:pPr>
        <w:rPr>
          <w:rFonts w:ascii="Times New Roman" w:hAnsi="Times New Roman" w:cs="Times New Roman"/>
          <w:sz w:val="28"/>
          <w:szCs w:val="28"/>
        </w:rPr>
      </w:pPr>
    </w:p>
    <w:sectPr w:rsidR="003635F2" w:rsidRPr="008468F8" w:rsidSect="008468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38E"/>
    <w:multiLevelType w:val="hybridMultilevel"/>
    <w:tmpl w:val="5624126A"/>
    <w:lvl w:ilvl="0" w:tplc="7BE20E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02F22"/>
    <w:multiLevelType w:val="hybridMultilevel"/>
    <w:tmpl w:val="D75466C8"/>
    <w:lvl w:ilvl="0" w:tplc="DAAC9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1CD"/>
    <w:multiLevelType w:val="hybridMultilevel"/>
    <w:tmpl w:val="2A008DE8"/>
    <w:lvl w:ilvl="0" w:tplc="877E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F70F8"/>
    <w:multiLevelType w:val="hybridMultilevel"/>
    <w:tmpl w:val="2A008DE8"/>
    <w:lvl w:ilvl="0" w:tplc="877E5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52F94"/>
    <w:multiLevelType w:val="hybridMultilevel"/>
    <w:tmpl w:val="8D989D4E"/>
    <w:lvl w:ilvl="0" w:tplc="D80CF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439C4"/>
    <w:multiLevelType w:val="hybridMultilevel"/>
    <w:tmpl w:val="5CCA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06"/>
    <w:rsid w:val="00025287"/>
    <w:rsid w:val="00162306"/>
    <w:rsid w:val="0020037C"/>
    <w:rsid w:val="0032043A"/>
    <w:rsid w:val="00345A10"/>
    <w:rsid w:val="003635F2"/>
    <w:rsid w:val="004A769F"/>
    <w:rsid w:val="00543FE1"/>
    <w:rsid w:val="005C49C2"/>
    <w:rsid w:val="006722BF"/>
    <w:rsid w:val="006C4A13"/>
    <w:rsid w:val="006D12F9"/>
    <w:rsid w:val="007622E9"/>
    <w:rsid w:val="008009FB"/>
    <w:rsid w:val="008468F8"/>
    <w:rsid w:val="008A62D4"/>
    <w:rsid w:val="008D2C6A"/>
    <w:rsid w:val="00950CD6"/>
    <w:rsid w:val="009911E1"/>
    <w:rsid w:val="009E3E27"/>
    <w:rsid w:val="00A238A5"/>
    <w:rsid w:val="00AA5872"/>
    <w:rsid w:val="00C239D6"/>
    <w:rsid w:val="00CA4B55"/>
    <w:rsid w:val="00D00CDC"/>
    <w:rsid w:val="00D77A3D"/>
    <w:rsid w:val="00D83BDF"/>
    <w:rsid w:val="00F2521B"/>
    <w:rsid w:val="00F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2025-03-25T12:27:00Z</dcterms:created>
  <dcterms:modified xsi:type="dcterms:W3CDTF">2026-03-24T12:54:00Z</dcterms:modified>
</cp:coreProperties>
</file>